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6B" w:rsidRPr="00175D6B" w:rsidRDefault="00175D6B" w:rsidP="00040DDC">
      <w:pPr>
        <w:spacing w:line="500" w:lineRule="exact"/>
        <w:jc w:val="center"/>
        <w:rPr>
          <w:rFonts w:ascii="標楷體" w:eastAsia="標楷體" w:hAnsi="標楷體" w:cs="Times New Roman"/>
          <w:b/>
          <w:bCs/>
          <w:color w:val="000000"/>
          <w:sz w:val="32"/>
          <w:szCs w:val="32"/>
        </w:rPr>
      </w:pPr>
      <w:r w:rsidRPr="00175D6B">
        <w:rPr>
          <w:rFonts w:ascii="標楷體" w:eastAsia="標楷體" w:hAnsi="標楷體" w:cs="Times New Roman" w:hint="eastAsia"/>
          <w:b/>
          <w:bCs/>
          <w:color w:val="000000"/>
          <w:sz w:val="32"/>
          <w:szCs w:val="32"/>
        </w:rPr>
        <w:t>桃園市平鎮區新榮國民小學1</w:t>
      </w:r>
      <w:r w:rsidRPr="00175D6B">
        <w:rPr>
          <w:rFonts w:ascii="標楷體" w:eastAsia="標楷體" w:hAnsi="標楷體" w:cs="Times New Roman"/>
          <w:b/>
          <w:bCs/>
          <w:color w:val="000000"/>
          <w:sz w:val="32"/>
          <w:szCs w:val="32"/>
        </w:rPr>
        <w:t>11</w:t>
      </w:r>
      <w:r w:rsidRPr="00175D6B">
        <w:rPr>
          <w:rFonts w:ascii="標楷體" w:eastAsia="標楷體" w:hAnsi="標楷體" w:cs="Times New Roman" w:hint="eastAsia"/>
          <w:b/>
          <w:bCs/>
          <w:color w:val="000000"/>
          <w:sz w:val="32"/>
          <w:szCs w:val="32"/>
        </w:rPr>
        <w:t>年度進用警衛人員契約書</w:t>
      </w:r>
    </w:p>
    <w:p w:rsidR="00175D6B" w:rsidRPr="00175D6B" w:rsidRDefault="00175D6B" w:rsidP="00175D6B">
      <w:pPr>
        <w:spacing w:line="400" w:lineRule="exact"/>
        <w:rPr>
          <w:rFonts w:ascii="標楷體" w:eastAsia="標楷體" w:hAnsi="標楷體" w:cs="Times New Roman"/>
          <w:b/>
          <w:bCs/>
          <w:color w:val="000000"/>
          <w:sz w:val="16"/>
          <w:szCs w:val="16"/>
        </w:rPr>
      </w:pPr>
    </w:p>
    <w:p w:rsidR="00175D6B" w:rsidRPr="00175D6B" w:rsidRDefault="00175D6B" w:rsidP="00175D6B">
      <w:pPr>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桃園市平鎮區新榮國民小學（以下簡稱甲方）為加強校園門禁管理及維護學生安全等，與      </w:t>
      </w:r>
      <w:r w:rsidRPr="00175D6B">
        <w:rPr>
          <w:rFonts w:ascii="標楷體" w:eastAsia="標楷體" w:hAnsi="標楷體" w:cs="Times New Roman"/>
          <w:color w:val="000000"/>
          <w:sz w:val="28"/>
          <w:szCs w:val="28"/>
        </w:rPr>
        <w:t xml:space="preserve"> </w:t>
      </w:r>
      <w:r w:rsidRPr="00175D6B">
        <w:rPr>
          <w:rFonts w:ascii="標楷體" w:eastAsia="標楷體" w:hAnsi="標楷體" w:cs="Times New Roman" w:hint="eastAsia"/>
          <w:color w:val="000000"/>
          <w:sz w:val="28"/>
          <w:szCs w:val="28"/>
        </w:rPr>
        <w:t xml:space="preserve"> 君（以下簡稱乙方），雙方同意訂立契約，共同遵守約定條款如下：</w:t>
      </w:r>
    </w:p>
    <w:p w:rsidR="00175D6B" w:rsidRPr="00175D6B" w:rsidRDefault="00175D6B" w:rsidP="00175D6B">
      <w:pPr>
        <w:spacing w:after="120" w:line="400" w:lineRule="exact"/>
        <w:ind w:left="-1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一 條   （契約期間）</w:t>
      </w:r>
    </w:p>
    <w:p w:rsidR="00175D6B" w:rsidRPr="00175D6B" w:rsidRDefault="00175D6B" w:rsidP="00175D6B">
      <w:pPr>
        <w:numPr>
          <w:ilvl w:val="1"/>
          <w:numId w:val="1"/>
        </w:numPr>
        <w:tabs>
          <w:tab w:val="left" w:pos="1276"/>
        </w:tabs>
        <w:spacing w:line="400" w:lineRule="exact"/>
        <w:ind w:left="1276" w:hanging="567"/>
        <w:jc w:val="both"/>
        <w:rPr>
          <w:rFonts w:ascii="標楷體" w:eastAsia="標楷體" w:hAnsi="標楷體" w:cs="Times New Roman"/>
          <w:color w:val="000000"/>
          <w:sz w:val="27"/>
          <w:szCs w:val="27"/>
        </w:rPr>
      </w:pPr>
      <w:r w:rsidRPr="00175D6B">
        <w:rPr>
          <w:rFonts w:ascii="標楷體" w:eastAsia="標楷體" w:hAnsi="標楷體" w:cs="Times New Roman" w:hint="eastAsia"/>
          <w:color w:val="000000"/>
          <w:sz w:val="27"/>
          <w:szCs w:val="27"/>
        </w:rPr>
        <w:t>本次甄選經錄取後以短期約聘方式，</w:t>
      </w:r>
      <w:r w:rsidRPr="00175D6B">
        <w:rPr>
          <w:rFonts w:ascii="標楷體" w:eastAsia="標楷體" w:hAnsi="標楷體" w:cs="Times New Roman"/>
          <w:color w:val="000000"/>
          <w:sz w:val="27"/>
          <w:szCs w:val="27"/>
        </w:rPr>
        <w:t>自</w:t>
      </w:r>
      <w:r w:rsidRPr="00175D6B">
        <w:rPr>
          <w:rFonts w:ascii="標楷體" w:eastAsia="標楷體" w:hAnsi="標楷體" w:cs="Times New Roman" w:hint="eastAsia"/>
          <w:color w:val="000000"/>
          <w:sz w:val="27"/>
          <w:szCs w:val="27"/>
        </w:rPr>
        <w:t>中華民國1</w:t>
      </w:r>
      <w:r w:rsidRPr="00175D6B">
        <w:rPr>
          <w:rFonts w:ascii="標楷體" w:eastAsia="標楷體" w:hAnsi="標楷體" w:cs="Times New Roman"/>
          <w:color w:val="000000"/>
          <w:sz w:val="27"/>
          <w:szCs w:val="27"/>
        </w:rPr>
        <w:t>11年</w:t>
      </w:r>
      <w:r w:rsidR="000354BF" w:rsidRPr="000354BF">
        <w:rPr>
          <w:rFonts w:ascii="標楷體" w:eastAsia="標楷體" w:hAnsi="標楷體" w:cs="Times New Roman"/>
          <w:color w:val="000000"/>
          <w:sz w:val="27"/>
          <w:szCs w:val="27"/>
          <w:u w:val="single"/>
        </w:rPr>
        <w:t xml:space="preserve">  </w:t>
      </w:r>
      <w:r w:rsidRPr="00175D6B">
        <w:rPr>
          <w:rFonts w:ascii="標楷體" w:eastAsia="標楷體" w:hAnsi="標楷體" w:cs="Times New Roman" w:hint="eastAsia"/>
          <w:color w:val="000000"/>
          <w:sz w:val="27"/>
          <w:szCs w:val="27"/>
        </w:rPr>
        <w:t>月</w:t>
      </w:r>
      <w:r w:rsidR="000354BF" w:rsidRPr="000354BF">
        <w:rPr>
          <w:rFonts w:ascii="標楷體" w:eastAsia="標楷體" w:hAnsi="標楷體" w:cs="Times New Roman"/>
          <w:color w:val="000000"/>
          <w:sz w:val="27"/>
          <w:szCs w:val="27"/>
          <w:u w:val="single"/>
        </w:rPr>
        <w:t xml:space="preserve">  </w:t>
      </w:r>
      <w:r w:rsidRPr="00175D6B">
        <w:rPr>
          <w:rFonts w:ascii="標楷體" w:eastAsia="標楷體" w:hAnsi="標楷體" w:cs="Times New Roman" w:hint="eastAsia"/>
          <w:color w:val="000000"/>
          <w:sz w:val="27"/>
          <w:szCs w:val="27"/>
        </w:rPr>
        <w:t>日起試用一個月，表現經學校考評合格後始得正式訂定聘任契約，1</w:t>
      </w:r>
      <w:r w:rsidRPr="00175D6B">
        <w:rPr>
          <w:rFonts w:ascii="標楷體" w:eastAsia="標楷體" w:hAnsi="標楷體" w:cs="Times New Roman"/>
          <w:color w:val="000000"/>
          <w:sz w:val="27"/>
          <w:szCs w:val="27"/>
        </w:rPr>
        <w:t>11</w:t>
      </w:r>
      <w:r w:rsidRPr="00175D6B">
        <w:rPr>
          <w:rFonts w:ascii="標楷體" w:eastAsia="標楷體" w:hAnsi="標楷體" w:cs="Times New Roman" w:hint="eastAsia"/>
          <w:color w:val="000000"/>
          <w:sz w:val="27"/>
          <w:szCs w:val="27"/>
        </w:rPr>
        <w:t>年度雇用期間至1</w:t>
      </w:r>
      <w:r w:rsidRPr="00175D6B">
        <w:rPr>
          <w:rFonts w:ascii="標楷體" w:eastAsia="標楷體" w:hAnsi="標楷體" w:cs="Times New Roman"/>
          <w:color w:val="000000"/>
          <w:sz w:val="27"/>
          <w:szCs w:val="27"/>
        </w:rPr>
        <w:t>11</w:t>
      </w:r>
      <w:r w:rsidRPr="00175D6B">
        <w:rPr>
          <w:rFonts w:ascii="標楷體" w:eastAsia="標楷體" w:hAnsi="標楷體" w:cs="Times New Roman" w:hint="eastAsia"/>
          <w:color w:val="000000"/>
          <w:sz w:val="27"/>
          <w:szCs w:val="27"/>
        </w:rPr>
        <w:t>年</w:t>
      </w:r>
      <w:r w:rsidRPr="00175D6B">
        <w:rPr>
          <w:rFonts w:ascii="標楷體" w:eastAsia="標楷體" w:hAnsi="標楷體" w:cs="Times New Roman"/>
          <w:color w:val="000000"/>
          <w:sz w:val="27"/>
          <w:szCs w:val="27"/>
        </w:rPr>
        <w:t>12</w:t>
      </w:r>
      <w:r w:rsidRPr="00175D6B">
        <w:rPr>
          <w:rFonts w:ascii="標楷體" w:eastAsia="標楷體" w:hAnsi="標楷體" w:cs="Times New Roman" w:hint="eastAsia"/>
          <w:color w:val="000000"/>
          <w:sz w:val="27"/>
          <w:szCs w:val="27"/>
        </w:rPr>
        <w:t>月</w:t>
      </w:r>
      <w:r w:rsidRPr="00175D6B">
        <w:rPr>
          <w:rFonts w:ascii="標楷體" w:eastAsia="標楷體" w:hAnsi="標楷體" w:cs="Times New Roman"/>
          <w:color w:val="000000"/>
          <w:sz w:val="27"/>
          <w:szCs w:val="27"/>
        </w:rPr>
        <w:t>31</w:t>
      </w:r>
      <w:r w:rsidRPr="00175D6B">
        <w:rPr>
          <w:rFonts w:ascii="標楷體" w:eastAsia="標楷體" w:hAnsi="標楷體" w:cs="Times New Roman" w:hint="eastAsia"/>
          <w:color w:val="000000"/>
          <w:sz w:val="27"/>
          <w:szCs w:val="27"/>
        </w:rPr>
        <w:t>日止。</w:t>
      </w:r>
    </w:p>
    <w:p w:rsidR="00175D6B" w:rsidRPr="00175D6B" w:rsidRDefault="00175D6B" w:rsidP="00175D6B">
      <w:pPr>
        <w:numPr>
          <w:ilvl w:val="1"/>
          <w:numId w:val="1"/>
        </w:numPr>
        <w:tabs>
          <w:tab w:val="left" w:pos="1276"/>
        </w:tabs>
        <w:spacing w:line="400" w:lineRule="exact"/>
        <w:ind w:leftChars="450" w:left="1647" w:hanging="567"/>
        <w:jc w:val="both"/>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7"/>
          <w:szCs w:val="27"/>
        </w:rPr>
        <w:t>年終前經考核表現優異者，得參考「桃園市政府及所屬各機關學校臨時人員進用及管理要點」第十四點辦理續雇，以一年一聘為原則</w:t>
      </w:r>
      <w:r w:rsidRPr="00175D6B">
        <w:rPr>
          <w:rFonts w:ascii="標楷體" w:eastAsia="標楷體" w:hAnsi="標楷體" w:cs="Times New Roman"/>
          <w:color w:val="000000"/>
          <w:sz w:val="27"/>
          <w:szCs w:val="27"/>
        </w:rPr>
        <w:t>。</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二 條   （工作項目）</w:t>
      </w:r>
    </w:p>
    <w:p w:rsidR="00175D6B" w:rsidRPr="00175D6B" w:rsidRDefault="00175D6B" w:rsidP="00175D6B">
      <w:pPr>
        <w:spacing w:line="400" w:lineRule="exact"/>
        <w:ind w:leftChars="450" w:left="1959" w:hangingChars="314" w:hanging="879"/>
        <w:rPr>
          <w:rFonts w:ascii="標楷體" w:eastAsia="標楷體" w:hAnsi="標楷體" w:cs="Times New Roman"/>
          <w:bCs/>
          <w:color w:val="000000"/>
          <w:szCs w:val="28"/>
        </w:rPr>
      </w:pPr>
      <w:r w:rsidRPr="00175D6B">
        <w:rPr>
          <w:rFonts w:ascii="標楷體" w:eastAsia="標楷體" w:hAnsi="標楷體" w:cs="Times New Roman" w:hint="eastAsia"/>
          <w:color w:val="000000"/>
          <w:sz w:val="28"/>
          <w:szCs w:val="28"/>
        </w:rPr>
        <w:t>乙方接受甲方監督指揮，擔任工作內容如下：</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門禁管</w:t>
      </w:r>
      <w:r w:rsidRPr="00175D6B">
        <w:rPr>
          <w:rFonts w:ascii="標楷體" w:eastAsia="標楷體" w:hAnsi="標楷體" w:cs="Times New Roman"/>
          <w:bCs/>
          <w:color w:val="000000"/>
          <w:sz w:val="28"/>
          <w:szCs w:val="28"/>
        </w:rPr>
        <w:t>制</w:t>
      </w:r>
      <w:r w:rsidRPr="00175D6B">
        <w:rPr>
          <w:rFonts w:ascii="標楷體" w:eastAsia="標楷體" w:hAnsi="標楷體" w:cs="Times New Roman" w:hint="eastAsia"/>
          <w:color w:val="000000"/>
          <w:sz w:val="28"/>
          <w:szCs w:val="28"/>
        </w:rPr>
        <w:t>。</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bCs/>
          <w:color w:val="000000"/>
          <w:sz w:val="28"/>
          <w:szCs w:val="28"/>
        </w:rPr>
        <w:t>校園安全巡視</w:t>
      </w:r>
      <w:r w:rsidRPr="00175D6B">
        <w:rPr>
          <w:rFonts w:ascii="標楷體" w:eastAsia="標楷體" w:hAnsi="標楷體" w:cs="Times New Roman" w:hint="eastAsia"/>
          <w:color w:val="000000"/>
          <w:sz w:val="28"/>
          <w:szCs w:val="28"/>
        </w:rPr>
        <w:t>。</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上下學路口交通指揮。</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bCs/>
          <w:color w:val="000000"/>
          <w:sz w:val="28"/>
          <w:szCs w:val="28"/>
        </w:rPr>
        <w:t>來賓通報及導引。</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7"/>
          <w:szCs w:val="27"/>
        </w:rPr>
        <w:t>校園綠化美化維護</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保全系統設定與解除。</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開、鎖</w:t>
      </w:r>
      <w:r w:rsidRPr="00175D6B">
        <w:rPr>
          <w:rFonts w:ascii="標楷體" w:eastAsia="標楷體" w:hAnsi="標楷體" w:cs="Times New Roman" w:hint="eastAsia"/>
          <w:bCs/>
          <w:color w:val="000000"/>
          <w:sz w:val="28"/>
          <w:szCs w:val="28"/>
        </w:rPr>
        <w:t>行政辦公室及</w:t>
      </w:r>
      <w:r w:rsidRPr="00175D6B">
        <w:rPr>
          <w:rFonts w:ascii="標楷體" w:eastAsia="標楷體" w:hAnsi="標楷體" w:cs="Times New Roman" w:hint="eastAsia"/>
          <w:color w:val="000000"/>
          <w:sz w:val="28"/>
          <w:szCs w:val="28"/>
        </w:rPr>
        <w:t>教室門窗，</w:t>
      </w:r>
      <w:r w:rsidRPr="00175D6B">
        <w:rPr>
          <w:rFonts w:ascii="標楷體" w:eastAsia="標楷體" w:hAnsi="標楷體" w:cs="Times New Roman" w:hint="eastAsia"/>
          <w:sz w:val="28"/>
          <w:szCs w:val="28"/>
        </w:rPr>
        <w:t>及關閉電源</w:t>
      </w:r>
      <w:r w:rsidRPr="00175D6B">
        <w:rPr>
          <w:rFonts w:ascii="標楷體" w:eastAsia="標楷體" w:hAnsi="標楷體" w:cs="Times New Roman" w:hint="eastAsia"/>
          <w:color w:val="000000"/>
          <w:sz w:val="28"/>
          <w:szCs w:val="28"/>
        </w:rPr>
        <w:t>。</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簽收公文信件包裹等。</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處理偶發事件。</w:t>
      </w:r>
    </w:p>
    <w:p w:rsidR="00175D6B" w:rsidRPr="00175D6B" w:rsidRDefault="00175D6B" w:rsidP="00175D6B">
      <w:pPr>
        <w:numPr>
          <w:ilvl w:val="0"/>
          <w:numId w:val="3"/>
        </w:numPr>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bCs/>
          <w:color w:val="000000"/>
          <w:sz w:val="28"/>
          <w:szCs w:val="28"/>
        </w:rPr>
        <w:t>警衛室及週圍環境整理。</w:t>
      </w:r>
    </w:p>
    <w:p w:rsidR="00175D6B" w:rsidRPr="00175D6B" w:rsidRDefault="00175D6B" w:rsidP="00175D6B">
      <w:pPr>
        <w:numPr>
          <w:ilvl w:val="0"/>
          <w:numId w:val="3"/>
        </w:numPr>
        <w:tabs>
          <w:tab w:val="left" w:pos="2268"/>
        </w:tabs>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協助倒垃圾。</w:t>
      </w:r>
    </w:p>
    <w:p w:rsidR="00175D6B" w:rsidRPr="00175D6B" w:rsidRDefault="00175D6B" w:rsidP="00175D6B">
      <w:pPr>
        <w:numPr>
          <w:ilvl w:val="0"/>
          <w:numId w:val="3"/>
        </w:numPr>
        <w:tabs>
          <w:tab w:val="left" w:pos="2127"/>
          <w:tab w:val="left" w:pos="2268"/>
        </w:tabs>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校狗照護餵食及住宿環境整潔。</w:t>
      </w:r>
    </w:p>
    <w:p w:rsidR="00175D6B" w:rsidRPr="00175D6B" w:rsidRDefault="00175D6B" w:rsidP="00175D6B">
      <w:pPr>
        <w:numPr>
          <w:ilvl w:val="0"/>
          <w:numId w:val="3"/>
        </w:numPr>
        <w:tabs>
          <w:tab w:val="left" w:pos="2127"/>
          <w:tab w:val="left" w:pos="2268"/>
        </w:tabs>
        <w:snapToGrid w:val="0"/>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其他臨時交辦任務。</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三 條   （工作地點）</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乙方接受甲方監督指揮，於下列地點，擔任本契約所定之工作：</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（一）校園內。</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（二）校園對外各出入口及兩側人行步道、交通指揮區域。</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lastRenderedPageBreak/>
        <w:t>第 四 條   （工作時間、日數及休息）</w:t>
      </w:r>
    </w:p>
    <w:p w:rsidR="00175D6B" w:rsidRPr="00175D6B" w:rsidRDefault="00175D6B" w:rsidP="00175D6B">
      <w:pPr>
        <w:numPr>
          <w:ilvl w:val="0"/>
          <w:numId w:val="4"/>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1</w:t>
      </w:r>
      <w:r w:rsidRPr="00175D6B">
        <w:rPr>
          <w:rFonts w:ascii="標楷體" w:eastAsia="標楷體" w:hAnsi="標楷體" w:cs="Times New Roman"/>
          <w:bCs/>
          <w:color w:val="000000"/>
          <w:sz w:val="28"/>
          <w:szCs w:val="28"/>
        </w:rPr>
        <w:t>11</w:t>
      </w:r>
      <w:r w:rsidRPr="00175D6B">
        <w:rPr>
          <w:rFonts w:ascii="標楷體" w:eastAsia="標楷體" w:hAnsi="標楷體" w:cs="Times New Roman" w:hint="eastAsia"/>
          <w:bCs/>
          <w:color w:val="000000"/>
          <w:sz w:val="28"/>
          <w:szCs w:val="28"/>
        </w:rPr>
        <w:t>年</w:t>
      </w:r>
      <w:r w:rsidR="000354BF" w:rsidRPr="000354BF">
        <w:rPr>
          <w:rFonts w:ascii="標楷體" w:eastAsia="標楷體" w:hAnsi="標楷體" w:cs="Times New Roman"/>
          <w:color w:val="000000"/>
          <w:sz w:val="27"/>
          <w:szCs w:val="27"/>
          <w:u w:val="single"/>
        </w:rPr>
        <w:t xml:space="preserve">  </w:t>
      </w:r>
      <w:bookmarkStart w:id="0" w:name="_GoBack"/>
      <w:bookmarkEnd w:id="0"/>
      <w:r w:rsidR="000354BF" w:rsidRPr="00175D6B">
        <w:rPr>
          <w:rFonts w:ascii="標楷體" w:eastAsia="標楷體" w:hAnsi="標楷體" w:cs="Times New Roman" w:hint="eastAsia"/>
          <w:color w:val="000000"/>
          <w:sz w:val="27"/>
          <w:szCs w:val="27"/>
        </w:rPr>
        <w:t>月</w:t>
      </w:r>
      <w:r w:rsidR="000354BF" w:rsidRPr="000354BF">
        <w:rPr>
          <w:rFonts w:ascii="標楷體" w:eastAsia="標楷體" w:hAnsi="標楷體" w:cs="Times New Roman"/>
          <w:color w:val="000000"/>
          <w:sz w:val="27"/>
          <w:szCs w:val="27"/>
          <w:u w:val="single"/>
        </w:rPr>
        <w:t xml:space="preserve">  </w:t>
      </w:r>
      <w:r w:rsidR="000354BF" w:rsidRPr="00175D6B">
        <w:rPr>
          <w:rFonts w:ascii="標楷體" w:eastAsia="標楷體" w:hAnsi="標楷體" w:cs="Times New Roman" w:hint="eastAsia"/>
          <w:color w:val="000000"/>
          <w:sz w:val="27"/>
          <w:szCs w:val="27"/>
        </w:rPr>
        <w:t>日</w:t>
      </w:r>
      <w:r w:rsidRPr="00175D6B">
        <w:rPr>
          <w:rFonts w:ascii="標楷體" w:eastAsia="標楷體" w:hAnsi="標楷體" w:cs="Times New Roman" w:hint="eastAsia"/>
          <w:bCs/>
          <w:color w:val="000000"/>
          <w:sz w:val="28"/>
          <w:szCs w:val="28"/>
        </w:rPr>
        <w:t>起至1</w:t>
      </w:r>
      <w:r w:rsidRPr="00175D6B">
        <w:rPr>
          <w:rFonts w:ascii="標楷體" w:eastAsia="標楷體" w:hAnsi="標楷體" w:cs="Times New Roman"/>
          <w:bCs/>
          <w:color w:val="000000"/>
          <w:sz w:val="28"/>
          <w:szCs w:val="28"/>
        </w:rPr>
        <w:t>11</w:t>
      </w:r>
      <w:r w:rsidRPr="00175D6B">
        <w:rPr>
          <w:rFonts w:ascii="標楷體" w:eastAsia="標楷體" w:hAnsi="標楷體" w:cs="Times New Roman" w:hint="eastAsia"/>
          <w:bCs/>
          <w:color w:val="000000"/>
          <w:sz w:val="28"/>
          <w:szCs w:val="28"/>
        </w:rPr>
        <w:t>年12月31日止：</w:t>
      </w:r>
    </w:p>
    <w:p w:rsidR="00175D6B" w:rsidRPr="00175D6B" w:rsidRDefault="00175D6B" w:rsidP="00175D6B">
      <w:pPr>
        <w:spacing w:line="400" w:lineRule="exact"/>
        <w:ind w:leftChars="745" w:left="1788"/>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星期一至五：06：30~18：30，兩人輪班，每日務必完成清點交班（書面資料、電話或l</w:t>
      </w:r>
      <w:r w:rsidRPr="00175D6B">
        <w:rPr>
          <w:rFonts w:ascii="標楷體" w:eastAsia="標楷體" w:hAnsi="標楷體" w:cs="Times New Roman"/>
          <w:bCs/>
          <w:color w:val="000000"/>
          <w:sz w:val="28"/>
          <w:szCs w:val="28"/>
        </w:rPr>
        <w:t>ine</w:t>
      </w:r>
      <w:r w:rsidRPr="00175D6B">
        <w:rPr>
          <w:rFonts w:ascii="標楷體" w:eastAsia="標楷體" w:hAnsi="標楷體" w:cs="Times New Roman" w:hint="eastAsia"/>
          <w:bCs/>
          <w:color w:val="000000"/>
          <w:sz w:val="28"/>
          <w:szCs w:val="28"/>
        </w:rPr>
        <w:t>聯繫）。</w:t>
      </w:r>
    </w:p>
    <w:p w:rsidR="00175D6B" w:rsidRPr="00175D6B" w:rsidRDefault="00175D6B" w:rsidP="00175D6B">
      <w:pPr>
        <w:spacing w:line="400" w:lineRule="exact"/>
        <w:ind w:leftChars="745" w:left="1788"/>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星期六及日：08：00~17：00，兩人輪班，每日務必完成清點交班（書面資料、電話聯繫）。</w:t>
      </w:r>
    </w:p>
    <w:p w:rsidR="00175D6B" w:rsidRPr="00175D6B" w:rsidRDefault="00175D6B" w:rsidP="00175D6B">
      <w:pPr>
        <w:numPr>
          <w:ilvl w:val="0"/>
          <w:numId w:val="4"/>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甲方於必要時，得在符合勞基法規範下，調整每日工作時間。</w:t>
      </w:r>
    </w:p>
    <w:p w:rsidR="00175D6B" w:rsidRPr="00175D6B" w:rsidRDefault="00175D6B" w:rsidP="00175D6B">
      <w:pPr>
        <w:numPr>
          <w:ilvl w:val="0"/>
          <w:numId w:val="4"/>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學校夜間有活動時，乙方應無條件配合加班。</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五 條   （工資）</w:t>
      </w:r>
    </w:p>
    <w:p w:rsidR="00175D6B" w:rsidRPr="00175D6B" w:rsidRDefault="00175D6B" w:rsidP="00175D6B">
      <w:pPr>
        <w:spacing w:line="400" w:lineRule="exact"/>
        <w:ind w:leftChars="450" w:left="1080"/>
        <w:rPr>
          <w:rFonts w:ascii="標楷體" w:eastAsia="標楷體" w:hAnsi="標楷體" w:cs="Times New Roman"/>
          <w:color w:val="000000"/>
          <w:sz w:val="28"/>
          <w:szCs w:val="28"/>
        </w:rPr>
      </w:pPr>
      <w:r w:rsidRPr="00175D6B">
        <w:rPr>
          <w:rFonts w:ascii="標楷體" w:eastAsia="標楷體" w:hAnsi="標楷體" w:cs="Times New Roman" w:hint="eastAsia"/>
          <w:bCs/>
          <w:color w:val="000000"/>
          <w:sz w:val="28"/>
          <w:szCs w:val="28"/>
        </w:rPr>
        <w:t>依據「桃園市政府所屬機關學校因業務需要經核准雇用有案之臨時人員薪資給付標準」支給月薪。(另有機關補助勞健保費、勞退準備金等依規定辦理)。其他注意事項如下：</w:t>
      </w:r>
    </w:p>
    <w:p w:rsidR="00175D6B" w:rsidRPr="00175D6B" w:rsidRDefault="00175D6B" w:rsidP="00175D6B">
      <w:pPr>
        <w:numPr>
          <w:ilvl w:val="0"/>
          <w:numId w:val="6"/>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勞保暨健保之自付費用，需由每月薪資中扣款繳納。</w:t>
      </w:r>
    </w:p>
    <w:p w:rsidR="00175D6B" w:rsidRPr="00175D6B" w:rsidRDefault="00175D6B" w:rsidP="00175D6B">
      <w:pPr>
        <w:numPr>
          <w:ilvl w:val="0"/>
          <w:numId w:val="6"/>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年終獎金之發放依據市府相關核定文辦理。</w:t>
      </w:r>
    </w:p>
    <w:p w:rsidR="00175D6B" w:rsidRPr="00175D6B" w:rsidRDefault="00175D6B" w:rsidP="00175D6B">
      <w:pPr>
        <w:numPr>
          <w:ilvl w:val="0"/>
          <w:numId w:val="6"/>
        </w:numPr>
        <w:spacing w:line="400" w:lineRule="exact"/>
        <w:rPr>
          <w:rFonts w:ascii="標楷體" w:eastAsia="標楷體" w:hAnsi="標楷體" w:cs="Times New Roman"/>
          <w:bCs/>
          <w:color w:val="000000"/>
          <w:sz w:val="28"/>
          <w:szCs w:val="28"/>
        </w:rPr>
      </w:pPr>
      <w:r w:rsidRPr="00175D6B">
        <w:rPr>
          <w:rFonts w:ascii="標楷體" w:eastAsia="標楷體" w:hAnsi="標楷體" w:cs="Times New Roman" w:hint="eastAsia"/>
          <w:bCs/>
          <w:color w:val="000000"/>
          <w:sz w:val="28"/>
          <w:szCs w:val="28"/>
        </w:rPr>
        <w:t>離職或退職時，不得向甲方要求給付遣散費或退職金。</w:t>
      </w:r>
    </w:p>
    <w:p w:rsidR="00175D6B" w:rsidRPr="00175D6B" w:rsidRDefault="00175D6B" w:rsidP="00175D6B">
      <w:pPr>
        <w:numPr>
          <w:ilvl w:val="0"/>
          <w:numId w:val="6"/>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bCs/>
          <w:color w:val="000000"/>
          <w:sz w:val="28"/>
          <w:szCs w:val="28"/>
        </w:rPr>
        <w:t>薪資</w:t>
      </w:r>
      <w:r w:rsidRPr="00175D6B">
        <w:rPr>
          <w:rFonts w:ascii="標楷體" w:eastAsia="標楷體" w:hAnsi="標楷體" w:cs="Times New Roman" w:hint="eastAsia"/>
          <w:color w:val="000000"/>
          <w:sz w:val="28"/>
          <w:szCs w:val="28"/>
        </w:rPr>
        <w:t>於次月10日前發放，遇假日順延。</w:t>
      </w:r>
    </w:p>
    <w:p w:rsidR="00175D6B" w:rsidRPr="00175D6B" w:rsidRDefault="00175D6B" w:rsidP="00175D6B">
      <w:pPr>
        <w:spacing w:beforeLines="50" w:before="180" w:after="120" w:line="400" w:lineRule="exact"/>
        <w:ind w:leftChars="-50" w:left="-2" w:hangingChars="42" w:hanging="118"/>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六 條   (請假規定)</w:t>
      </w:r>
    </w:p>
    <w:p w:rsidR="00175D6B" w:rsidRPr="00175D6B" w:rsidRDefault="00175D6B" w:rsidP="00175D6B">
      <w:pPr>
        <w:numPr>
          <w:ilvl w:val="0"/>
          <w:numId w:val="5"/>
        </w:numPr>
        <w:spacing w:line="400" w:lineRule="exact"/>
        <w:rPr>
          <w:rFonts w:ascii="標楷體" w:eastAsia="標楷體" w:hAnsi="標楷體" w:cs="Times New Roman"/>
          <w:bCs/>
          <w:sz w:val="28"/>
          <w:szCs w:val="28"/>
        </w:rPr>
      </w:pPr>
      <w:r w:rsidRPr="00175D6B">
        <w:rPr>
          <w:rFonts w:ascii="標楷體" w:eastAsia="標楷體" w:hAnsi="標楷體" w:cs="Times New Roman" w:hint="eastAsia"/>
          <w:bCs/>
          <w:sz w:val="28"/>
          <w:szCs w:val="28"/>
        </w:rPr>
        <w:t>乙方之國定休假日比照勞動基準法第第3</w:t>
      </w:r>
      <w:r w:rsidRPr="00175D6B">
        <w:rPr>
          <w:rFonts w:ascii="標楷體" w:eastAsia="標楷體" w:hAnsi="標楷體" w:cs="Times New Roman"/>
          <w:bCs/>
          <w:sz w:val="28"/>
          <w:szCs w:val="28"/>
        </w:rPr>
        <w:t>7</w:t>
      </w:r>
      <w:r w:rsidRPr="00175D6B">
        <w:rPr>
          <w:rFonts w:ascii="標楷體" w:eastAsia="標楷體" w:hAnsi="標楷體" w:cs="Times New Roman" w:hint="eastAsia"/>
          <w:bCs/>
          <w:sz w:val="28"/>
          <w:szCs w:val="28"/>
        </w:rPr>
        <w:t>條第一項辦理。</w:t>
      </w:r>
    </w:p>
    <w:p w:rsidR="00175D6B" w:rsidRPr="00175D6B" w:rsidRDefault="00175D6B" w:rsidP="00175D6B">
      <w:pPr>
        <w:numPr>
          <w:ilvl w:val="0"/>
          <w:numId w:val="5"/>
        </w:numPr>
        <w:spacing w:line="400" w:lineRule="exact"/>
        <w:rPr>
          <w:rFonts w:ascii="標楷體" w:eastAsia="標楷體" w:hAnsi="標楷體" w:cs="Times New Roman"/>
          <w:sz w:val="28"/>
          <w:szCs w:val="28"/>
        </w:rPr>
      </w:pPr>
      <w:r w:rsidRPr="00175D6B">
        <w:rPr>
          <w:rFonts w:ascii="標楷體" w:eastAsia="標楷體" w:hAnsi="標楷體" w:cs="Times New Roman" w:hint="eastAsia"/>
          <w:sz w:val="28"/>
          <w:szCs w:val="28"/>
        </w:rPr>
        <w:t>乙方之特別休假使用時間，代理人員之延長工作時間之費用須由乙方自行負擔。特休假以前一個月月底提出申請為原則，並排定於下一個月的警衛輪值表中。</w:t>
      </w:r>
    </w:p>
    <w:p w:rsidR="00175D6B" w:rsidRPr="00175D6B" w:rsidRDefault="00175D6B" w:rsidP="00175D6B">
      <w:pPr>
        <w:numPr>
          <w:ilvl w:val="0"/>
          <w:numId w:val="5"/>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乙方除請公傷病假，於契約期間內計給工資外，其他事由之請假均不發給工資。</w:t>
      </w:r>
    </w:p>
    <w:p w:rsidR="00175D6B" w:rsidRPr="00175D6B" w:rsidRDefault="00175D6B" w:rsidP="00175D6B">
      <w:pPr>
        <w:numPr>
          <w:ilvl w:val="0"/>
          <w:numId w:val="5"/>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乙方請假，除公傷病假外，需自行委託甲方認可之合格代理人代班執勤，並應自付該代理人之代班薪資。</w:t>
      </w:r>
    </w:p>
    <w:p w:rsidR="00175D6B" w:rsidRPr="00175D6B" w:rsidRDefault="00175D6B" w:rsidP="00175D6B">
      <w:pPr>
        <w:spacing w:beforeLines="50" w:before="180" w:after="120" w:line="400" w:lineRule="exact"/>
        <w:ind w:leftChars="-50" w:left="-2" w:hangingChars="42" w:hanging="118"/>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七 條   （請假程序）</w:t>
      </w:r>
    </w:p>
    <w:p w:rsidR="00175D6B" w:rsidRPr="00175D6B" w:rsidRDefault="00175D6B" w:rsidP="00175D6B">
      <w:pPr>
        <w:numPr>
          <w:ilvl w:val="0"/>
          <w:numId w:val="7"/>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乙方請假，應填具假本，經甲方同意後，始得離開工作場所。但有急病或緊急事故，得先電話告知再補辦請假手續。</w:t>
      </w:r>
    </w:p>
    <w:p w:rsidR="00175D6B" w:rsidRPr="00175D6B" w:rsidRDefault="00175D6B" w:rsidP="00175D6B">
      <w:pPr>
        <w:numPr>
          <w:ilvl w:val="0"/>
          <w:numId w:val="7"/>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請公傷病假時，應於受傷之翌日起十日內，檢具全民健康保險特約地區醫院以上之醫事服務機構所開具之證明書。</w:t>
      </w:r>
    </w:p>
    <w:p w:rsidR="00175D6B" w:rsidRPr="00175D6B" w:rsidRDefault="00175D6B" w:rsidP="00175D6B">
      <w:pPr>
        <w:numPr>
          <w:ilvl w:val="0"/>
          <w:numId w:val="7"/>
        </w:numPr>
        <w:spacing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前項公傷病假逾三十日以上者，應每三十日重新檢具全民健康保險特約地區醫院以上之醫事服務機構所開具之證明書，辦理請假。</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lastRenderedPageBreak/>
        <w:t>第 八 條    （甲方得經預告終止契約之事由）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有下列情事之一者，甲方得經預告乙方終止本契約之事由：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一、甲方因不可抗力，暫停工作在一個月以上時。</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二、工作計畫變更，有減少進用人員之必要，且無適當工作可安置時。</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三、乙方對於所擔任之工作不能勝任時。</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四、因市府或本校經費來源不足，無力支付警衛薪資時。</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前項之終止應於十日前預告之。</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九 條    （甲方得不經預告終止契約之事由）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乙方有下列事由之一者，甲方得不經預告終止本契約：</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一、於甄選報名時，填寫或提供不實資料或文件。</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二、訂約時為虛偽意思表示，使甲方誤信而有受損害之虞。</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三、於工作時間或工作場所，實施暴行或有重大侮辱之行為。</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四、受有期徒刑以上刑之宣告確定，而未諭知緩刑或未准易科罰金。</w:t>
      </w:r>
    </w:p>
    <w:p w:rsidR="00175D6B" w:rsidRPr="00175D6B" w:rsidRDefault="00175D6B" w:rsidP="00175D6B">
      <w:pPr>
        <w:spacing w:after="120" w:line="400" w:lineRule="exact"/>
        <w:ind w:leftChars="450" w:left="1618" w:hangingChars="192" w:hanging="538"/>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五、故意損耗機器、工具、原料、產品，或其他甲方所有之物品，或故意洩漏業務上之秘密致甲方受有損害。</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六、無正當理由連續曠工三日，或一個月內曠工達六日。</w:t>
      </w:r>
    </w:p>
    <w:p w:rsidR="00175D6B" w:rsidRPr="00175D6B" w:rsidRDefault="00175D6B" w:rsidP="00175D6B">
      <w:pPr>
        <w:spacing w:after="120" w:line="400" w:lineRule="exact"/>
        <w:ind w:leftChars="450"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七、契約期間內，不給付工資之請假合計超過三十日。</w:t>
      </w:r>
    </w:p>
    <w:p w:rsidR="00175D6B" w:rsidRPr="00175D6B" w:rsidRDefault="00175D6B" w:rsidP="00175D6B">
      <w:pPr>
        <w:spacing w:after="120" w:line="400" w:lineRule="exact"/>
        <w:ind w:leftChars="450"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八、其他違反法令、契約或工作規範，情節重大。</w:t>
      </w:r>
    </w:p>
    <w:p w:rsidR="00175D6B" w:rsidRPr="00175D6B" w:rsidRDefault="00175D6B" w:rsidP="00175D6B">
      <w:pPr>
        <w:spacing w:beforeLines="50" w:before="180" w:after="120" w:line="400" w:lineRule="exact"/>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 十 條   （乙方得經預告終止契約之事由及離職手續）</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於聘期內，乙方無重大事項，不得自願離職。若須提前解約，須於一個月前，以書面通知甲方，並應經過甲方同意，否則應賠償甲方損失，以一個月月薪計算。並於離職當日前，將保管之事物完成移交及辦妥離職手續。</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第十一條   （乙方得不經預告終止契約之事由）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甲方有下列事由之一者，乙方得不經預告終止契約：</w:t>
      </w:r>
    </w:p>
    <w:p w:rsidR="00175D6B" w:rsidRPr="00175D6B" w:rsidRDefault="00175D6B" w:rsidP="00175D6B">
      <w:pPr>
        <w:tabs>
          <w:tab w:val="left" w:pos="1701"/>
        </w:tabs>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w:t>
      </w:r>
      <w:r w:rsidRPr="00175D6B">
        <w:rPr>
          <w:rFonts w:ascii="標楷體" w:eastAsia="標楷體" w:hAnsi="標楷體" w:cs="Times New Roman" w:hint="eastAsia"/>
          <w:color w:val="000000"/>
          <w:sz w:val="28"/>
          <w:szCs w:val="28"/>
        </w:rPr>
        <w:tab/>
        <w:t>訂約時為虛偽之意思表示，使乙方誤信而有受損害之虞。</w:t>
      </w:r>
    </w:p>
    <w:p w:rsidR="00175D6B" w:rsidRPr="00175D6B" w:rsidRDefault="00175D6B" w:rsidP="00175D6B">
      <w:pPr>
        <w:tabs>
          <w:tab w:val="left" w:pos="1701"/>
        </w:tabs>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w:t>
      </w:r>
      <w:r w:rsidRPr="00175D6B">
        <w:rPr>
          <w:rFonts w:ascii="標楷體" w:eastAsia="標楷體" w:hAnsi="標楷體" w:cs="Times New Roman" w:hint="eastAsia"/>
          <w:color w:val="000000"/>
          <w:sz w:val="28"/>
          <w:szCs w:val="28"/>
        </w:rPr>
        <w:tab/>
        <w:t>對乙方實施暴行或有重大侮辱之行為。</w:t>
      </w:r>
    </w:p>
    <w:p w:rsidR="00175D6B" w:rsidRPr="00175D6B" w:rsidRDefault="00175D6B" w:rsidP="00175D6B">
      <w:pPr>
        <w:tabs>
          <w:tab w:val="left" w:pos="1701"/>
        </w:tabs>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lastRenderedPageBreak/>
        <w:t>三、</w:t>
      </w:r>
      <w:r w:rsidRPr="00175D6B">
        <w:rPr>
          <w:rFonts w:ascii="標楷體" w:eastAsia="標楷體" w:hAnsi="標楷體" w:cs="Times New Roman" w:hint="eastAsia"/>
          <w:color w:val="000000"/>
          <w:sz w:val="28"/>
          <w:szCs w:val="28"/>
        </w:rPr>
        <w:tab/>
        <w:t>不依契約給付報酬。</w:t>
      </w:r>
    </w:p>
    <w:p w:rsidR="00175D6B" w:rsidRPr="00175D6B" w:rsidRDefault="00175D6B" w:rsidP="00175D6B">
      <w:pPr>
        <w:tabs>
          <w:tab w:val="left" w:pos="1701"/>
        </w:tabs>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四、</w:t>
      </w:r>
      <w:r w:rsidRPr="00175D6B">
        <w:rPr>
          <w:rFonts w:ascii="標楷體" w:eastAsia="標楷體" w:hAnsi="標楷體" w:cs="Times New Roman" w:hint="eastAsia"/>
          <w:color w:val="000000"/>
          <w:sz w:val="28"/>
          <w:szCs w:val="28"/>
        </w:rPr>
        <w:tab/>
        <w:t>其他違反法令或契約，情節重大。</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於離職當日前，將保管之事物完成移交及辦妥離職手續。</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第十二條   （用人機關【團體】不得終止契約之事由）</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契約屆滿前，乙方在產假或公傷病假期間，甲方不得終止契約。</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第十三條   （工作調整）</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甲方得因業務需要，調整乙方之執勤地點及工作內容。</w:t>
      </w:r>
    </w:p>
    <w:p w:rsidR="00175D6B" w:rsidRPr="00175D6B" w:rsidRDefault="00175D6B" w:rsidP="00175D6B">
      <w:pPr>
        <w:spacing w:beforeLines="50" w:before="180" w:after="120" w:line="400" w:lineRule="exact"/>
        <w:ind w:leftChars="-50" w:left="-2" w:hangingChars="42" w:hanging="118"/>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第十四條   （保險）</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甲方應為乙方於進用期間，依法辦理參加勞工保險及全民健康保險。機關補助部份由甲方支應，自付部份應由乙方自行支付。</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甲方未能依前項約定為乙方參加保險時，應為其投保新台幣一百萬元之意外險。</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第十五條    （不得請求資遣費）</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乙方不得因契約終止或屆滿，對甲方請求資遣費或退職金。</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第十六條    （保密義務）</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方任職於甲方所指派工作期間所知悉、所持有之教師及學生個人資料應負保密義務，不得洩漏於非因執行業務所必需之第三人知悉，並嚴格遵守相關法令之規定，如有違背，願負一切法律責任，契約期滿後亦同。</w:t>
      </w:r>
    </w:p>
    <w:p w:rsidR="00175D6B" w:rsidRPr="00175D6B" w:rsidRDefault="00175D6B" w:rsidP="00175D6B">
      <w:pPr>
        <w:spacing w:beforeLines="50" w:before="180" w:after="120" w:line="400" w:lineRule="exact"/>
        <w:ind w:left="-181"/>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第十七條    （其他權利義務事項）</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一、本契約未盡事宜，應悉依相關法令及本校行政會議決議辦理。</w:t>
      </w:r>
    </w:p>
    <w:p w:rsidR="00175D6B" w:rsidRPr="00175D6B" w:rsidRDefault="00175D6B" w:rsidP="00175D6B">
      <w:pPr>
        <w:spacing w:after="120" w:line="400" w:lineRule="exact"/>
        <w:ind w:left="10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二、本契約一式二份，由甲乙雙方各執一份。</w:t>
      </w:r>
    </w:p>
    <w:p w:rsidR="00175D6B" w:rsidRPr="00175D6B" w:rsidRDefault="00175D6B" w:rsidP="00175D6B">
      <w:pPr>
        <w:spacing w:after="120" w:line="400" w:lineRule="exact"/>
        <w:rPr>
          <w:rFonts w:ascii="標楷體" w:eastAsia="標楷體" w:hAnsi="標楷體" w:cs="Times New Roman"/>
          <w:color w:val="000000"/>
          <w:sz w:val="28"/>
          <w:szCs w:val="28"/>
        </w:rPr>
      </w:pPr>
    </w:p>
    <w:p w:rsidR="00175D6B" w:rsidRPr="00175D6B" w:rsidRDefault="00175D6B" w:rsidP="00175D6B">
      <w:pPr>
        <w:spacing w:after="120" w:line="480" w:lineRule="auto"/>
        <w:ind w:firstLineChars="100" w:firstLine="280"/>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立約人 </w:t>
      </w:r>
      <w:r w:rsidRPr="00175D6B">
        <w:rPr>
          <w:rFonts w:ascii="標楷體" w:eastAsia="標楷體" w:hAnsi="標楷體" w:cs="Times New Roman"/>
          <w:color w:val="000000"/>
          <w:sz w:val="28"/>
          <w:szCs w:val="28"/>
        </w:rPr>
        <w:t xml:space="preserve">          </w:t>
      </w:r>
      <w:r w:rsidRPr="00175D6B">
        <w:rPr>
          <w:rFonts w:ascii="標楷體" w:eastAsia="標楷體" w:hAnsi="標楷體" w:cs="Times New Roman" w:hint="eastAsia"/>
          <w:color w:val="000000"/>
          <w:sz w:val="28"/>
          <w:szCs w:val="28"/>
        </w:rPr>
        <w:t>甲  方：桃園市平鎮區新榮國民小學</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代表人：</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地  址：桃園市平鎮區中原路88號</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lastRenderedPageBreak/>
        <w:t>電  話：03-2806200</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乙  方：</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身分證字號： </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地  址：</w:t>
      </w:r>
      <w:r w:rsidRPr="00175D6B">
        <w:rPr>
          <w:rFonts w:ascii="標楷體" w:eastAsia="標楷體" w:hAnsi="標楷體" w:cs="Times New Roman"/>
          <w:color w:val="000000"/>
          <w:sz w:val="28"/>
          <w:szCs w:val="28"/>
        </w:rPr>
        <w:t xml:space="preserve"> </w:t>
      </w:r>
    </w:p>
    <w:p w:rsidR="00175D6B" w:rsidRPr="00175D6B" w:rsidRDefault="00175D6B" w:rsidP="00175D6B">
      <w:pPr>
        <w:spacing w:after="120" w:line="480" w:lineRule="auto"/>
        <w:ind w:leftChars="1122" w:left="2693"/>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電  話： </w:t>
      </w:r>
    </w:p>
    <w:p w:rsidR="00175D6B" w:rsidRPr="00175D6B" w:rsidRDefault="00175D6B" w:rsidP="00175D6B">
      <w:pPr>
        <w:numPr>
          <w:ilvl w:val="12"/>
          <w:numId w:val="0"/>
        </w:numPr>
        <w:overflowPunct w:val="0"/>
        <w:spacing w:line="400" w:lineRule="exact"/>
        <w:ind w:firstLineChars="315" w:firstLine="882"/>
        <w:textDirection w:val="lrTbV"/>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     </w:t>
      </w:r>
    </w:p>
    <w:p w:rsidR="00175D6B" w:rsidRPr="00175D6B" w:rsidRDefault="00175D6B" w:rsidP="00175D6B">
      <w:pPr>
        <w:numPr>
          <w:ilvl w:val="12"/>
          <w:numId w:val="0"/>
        </w:numPr>
        <w:overflowPunct w:val="0"/>
        <w:spacing w:line="400" w:lineRule="exact"/>
        <w:ind w:firstLineChars="315" w:firstLine="882"/>
        <w:textDirection w:val="lrTbV"/>
        <w:rPr>
          <w:rFonts w:ascii="標楷體" w:eastAsia="標楷體" w:hAnsi="標楷體" w:cs="Times New Roman"/>
          <w:color w:val="000000"/>
          <w:sz w:val="28"/>
          <w:szCs w:val="28"/>
        </w:rPr>
      </w:pPr>
    </w:p>
    <w:p w:rsidR="00175D6B" w:rsidRPr="00175D6B" w:rsidRDefault="00175D6B" w:rsidP="00175D6B">
      <w:pPr>
        <w:numPr>
          <w:ilvl w:val="12"/>
          <w:numId w:val="0"/>
        </w:numPr>
        <w:overflowPunct w:val="0"/>
        <w:spacing w:line="400" w:lineRule="exact"/>
        <w:ind w:firstLineChars="315" w:firstLine="882"/>
        <w:textDirection w:val="lrTbV"/>
        <w:rPr>
          <w:rFonts w:ascii="標楷體" w:eastAsia="標楷體" w:hAnsi="標楷體" w:cs="Times New Roman"/>
          <w:color w:val="000000"/>
          <w:sz w:val="28"/>
          <w:szCs w:val="28"/>
        </w:rPr>
      </w:pPr>
    </w:p>
    <w:p w:rsidR="00175D6B" w:rsidRPr="00175D6B" w:rsidRDefault="00175D6B" w:rsidP="00175D6B">
      <w:pPr>
        <w:numPr>
          <w:ilvl w:val="12"/>
          <w:numId w:val="0"/>
        </w:numPr>
        <w:overflowPunct w:val="0"/>
        <w:spacing w:line="400" w:lineRule="exact"/>
        <w:ind w:firstLineChars="100" w:firstLine="280"/>
        <w:textDirection w:val="lrTbV"/>
        <w:rPr>
          <w:rFonts w:ascii="標楷體" w:eastAsia="標楷體" w:hAnsi="標楷體" w:cs="Times New Roman"/>
          <w:color w:val="000000"/>
          <w:sz w:val="28"/>
          <w:szCs w:val="28"/>
        </w:rPr>
      </w:pPr>
      <w:r w:rsidRPr="00175D6B">
        <w:rPr>
          <w:rFonts w:ascii="標楷體" w:eastAsia="標楷體" w:hAnsi="標楷體" w:cs="Times New Roman" w:hint="eastAsia"/>
          <w:color w:val="000000"/>
          <w:sz w:val="28"/>
          <w:szCs w:val="28"/>
        </w:rPr>
        <w:t xml:space="preserve">製約：                 </w:t>
      </w:r>
      <w:r w:rsidRPr="00175D6B">
        <w:rPr>
          <w:rFonts w:ascii="標楷體" w:eastAsia="標楷體" w:hAnsi="標楷體" w:cs="Times New Roman"/>
          <w:color w:val="000000"/>
          <w:sz w:val="28"/>
          <w:szCs w:val="28"/>
        </w:rPr>
        <w:t xml:space="preserve">              </w:t>
      </w:r>
      <w:r w:rsidRPr="00175D6B">
        <w:rPr>
          <w:rFonts w:ascii="標楷體" w:eastAsia="標楷體" w:hAnsi="標楷體" w:cs="Times New Roman" w:hint="eastAsia"/>
          <w:color w:val="000000"/>
          <w:sz w:val="28"/>
          <w:szCs w:val="28"/>
        </w:rPr>
        <w:t xml:space="preserve">  覆核：</w:t>
      </w:r>
    </w:p>
    <w:p w:rsidR="00175D6B" w:rsidRPr="00175D6B" w:rsidRDefault="00175D6B" w:rsidP="00175D6B">
      <w:pPr>
        <w:numPr>
          <w:ilvl w:val="12"/>
          <w:numId w:val="0"/>
        </w:numPr>
        <w:overflowPunct w:val="0"/>
        <w:spacing w:line="400" w:lineRule="exact"/>
        <w:ind w:firstLineChars="100" w:firstLine="280"/>
        <w:textDirection w:val="lrTbV"/>
        <w:rPr>
          <w:rFonts w:ascii="標楷體" w:eastAsia="標楷體" w:hAnsi="標楷體" w:cs="Times New Roman"/>
          <w:color w:val="000000"/>
          <w:sz w:val="28"/>
          <w:szCs w:val="28"/>
        </w:rPr>
      </w:pPr>
    </w:p>
    <w:p w:rsidR="00175D6B" w:rsidRPr="00175D6B" w:rsidRDefault="00175D6B" w:rsidP="00175D6B">
      <w:pPr>
        <w:numPr>
          <w:ilvl w:val="12"/>
          <w:numId w:val="0"/>
        </w:numPr>
        <w:overflowPunct w:val="0"/>
        <w:spacing w:line="400" w:lineRule="exact"/>
        <w:textDirection w:val="lrTbV"/>
        <w:rPr>
          <w:rFonts w:ascii="標楷體" w:eastAsia="標楷體" w:hAnsi="標楷體" w:cs="Times New Roman"/>
          <w:color w:val="000000"/>
          <w:sz w:val="28"/>
          <w:szCs w:val="28"/>
        </w:rPr>
      </w:pPr>
    </w:p>
    <w:p w:rsidR="00175D6B" w:rsidRPr="00175D6B" w:rsidRDefault="00175D6B" w:rsidP="00175D6B">
      <w:pPr>
        <w:numPr>
          <w:ilvl w:val="12"/>
          <w:numId w:val="0"/>
        </w:numPr>
        <w:overflowPunct w:val="0"/>
        <w:spacing w:line="400" w:lineRule="exact"/>
        <w:ind w:firstLineChars="315" w:firstLine="882"/>
        <w:textDirection w:val="lrTbV"/>
        <w:rPr>
          <w:rFonts w:ascii="標楷體" w:eastAsia="標楷體" w:hAnsi="標楷體" w:cs="Times New Roman"/>
          <w:color w:val="000000"/>
          <w:sz w:val="28"/>
          <w:szCs w:val="28"/>
        </w:rPr>
      </w:pPr>
    </w:p>
    <w:p w:rsidR="00175D6B" w:rsidRPr="00175D6B" w:rsidRDefault="00175D6B" w:rsidP="00175D6B">
      <w:pPr>
        <w:spacing w:line="400" w:lineRule="exact"/>
        <w:rPr>
          <w:rFonts w:ascii="標楷體" w:eastAsia="標楷體" w:hAnsi="標楷體" w:cs="Times New Roman"/>
          <w:color w:val="000000"/>
          <w:kern w:val="0"/>
          <w:szCs w:val="24"/>
        </w:rPr>
      </w:pPr>
      <w:r w:rsidRPr="00175D6B">
        <w:rPr>
          <w:rFonts w:ascii="標楷體" w:eastAsia="標楷體" w:hAnsi="標楷體" w:cs="Times New Roman" w:hint="eastAsia"/>
          <w:color w:val="000000"/>
          <w:spacing w:val="356"/>
          <w:kern w:val="0"/>
          <w:szCs w:val="24"/>
          <w:fitText w:val="9639" w:id="-1571278592"/>
        </w:rPr>
        <w:t>中華民國11</w:t>
      </w:r>
      <w:r w:rsidRPr="00175D6B">
        <w:rPr>
          <w:rFonts w:ascii="標楷體" w:eastAsia="標楷體" w:hAnsi="標楷體" w:cs="Times New Roman"/>
          <w:color w:val="000000"/>
          <w:spacing w:val="356"/>
          <w:kern w:val="0"/>
          <w:szCs w:val="24"/>
          <w:fitText w:val="9639" w:id="-1571278592"/>
        </w:rPr>
        <w:t>1</w:t>
      </w:r>
      <w:r w:rsidRPr="00175D6B">
        <w:rPr>
          <w:rFonts w:ascii="標楷體" w:eastAsia="標楷體" w:hAnsi="標楷體" w:cs="Times New Roman" w:hint="eastAsia"/>
          <w:color w:val="000000"/>
          <w:spacing w:val="356"/>
          <w:kern w:val="0"/>
          <w:szCs w:val="24"/>
          <w:fitText w:val="9639" w:id="-1571278592"/>
        </w:rPr>
        <w:t>年2月</w:t>
      </w:r>
      <w:r w:rsidRPr="00175D6B">
        <w:rPr>
          <w:rFonts w:ascii="標楷體" w:eastAsia="標楷體" w:hAnsi="標楷體" w:cs="Times New Roman"/>
          <w:color w:val="000000"/>
          <w:spacing w:val="356"/>
          <w:kern w:val="0"/>
          <w:szCs w:val="24"/>
          <w:fitText w:val="9639" w:id="-1571278592"/>
        </w:rPr>
        <w:t xml:space="preserve"> </w:t>
      </w:r>
      <w:r w:rsidRPr="00175D6B">
        <w:rPr>
          <w:rFonts w:ascii="標楷體" w:eastAsia="標楷體" w:hAnsi="標楷體" w:cs="Times New Roman" w:hint="eastAsia"/>
          <w:color w:val="000000"/>
          <w:kern w:val="0"/>
          <w:szCs w:val="24"/>
          <w:fitText w:val="9639" w:id="-1571278592"/>
        </w:rPr>
        <w:t>日</w:t>
      </w:r>
    </w:p>
    <w:p w:rsidR="00175D6B" w:rsidRPr="00175D6B" w:rsidRDefault="00175D6B" w:rsidP="00175D6B">
      <w:pPr>
        <w:spacing w:after="120" w:line="400" w:lineRule="exact"/>
        <w:ind w:left="-180"/>
        <w:rPr>
          <w:rFonts w:ascii="標楷體" w:eastAsia="標楷體" w:hAnsi="標楷體" w:cs="Times New Roman"/>
          <w:color w:val="000000"/>
          <w:kern w:val="0"/>
          <w:szCs w:val="24"/>
        </w:rPr>
      </w:pPr>
    </w:p>
    <w:p w:rsidR="00F80288" w:rsidRPr="00175D6B" w:rsidRDefault="00F80288"/>
    <w:sectPr w:rsidR="00F80288" w:rsidRPr="00175D6B" w:rsidSect="00320DA9">
      <w:headerReference w:type="default" r:id="rId7"/>
      <w:footerReference w:type="default" r:id="rId8"/>
      <w:pgSz w:w="11906" w:h="16838" w:code="9"/>
      <w:pgMar w:top="567" w:right="926" w:bottom="85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DAA" w:rsidRDefault="000D5DAA">
      <w:r>
        <w:separator/>
      </w:r>
    </w:p>
  </w:endnote>
  <w:endnote w:type="continuationSeparator" w:id="0">
    <w:p w:rsidR="000D5DAA" w:rsidRDefault="000D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C0" w:rsidRDefault="00670125">
    <w:pPr>
      <w:pStyle w:val="a5"/>
    </w:pPr>
    <w:r>
      <w:fldChar w:fldCharType="begin"/>
    </w:r>
    <w:r>
      <w:instrText xml:space="preserve"> PAGE   \* MERGEFORMAT </w:instrText>
    </w:r>
    <w:r>
      <w:fldChar w:fldCharType="separate"/>
    </w:r>
    <w:r w:rsidR="000354BF" w:rsidRPr="000354BF">
      <w:rPr>
        <w:noProof/>
        <w:lang w:val="zh-TW"/>
      </w:rPr>
      <w:t>2</w:t>
    </w:r>
    <w:r>
      <w:fldChar w:fldCharType="end"/>
    </w:r>
  </w:p>
  <w:p w:rsidR="00B94DC0" w:rsidRDefault="000D5D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DAA" w:rsidRDefault="000D5DAA">
      <w:r>
        <w:separator/>
      </w:r>
    </w:p>
  </w:footnote>
  <w:footnote w:type="continuationSeparator" w:id="0">
    <w:p w:rsidR="000D5DAA" w:rsidRDefault="000D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C0" w:rsidRDefault="00175D6B">
    <w:pPr>
      <w:pStyle w:val="a3"/>
    </w:pPr>
    <w:r>
      <w:rPr>
        <w:noProof/>
      </w:rPr>
      <mc:AlternateContent>
        <mc:Choice Requires="wps">
          <w:drawing>
            <wp:anchor distT="0" distB="0" distL="114300" distR="114300" simplePos="0" relativeHeight="251659264" behindDoc="0" locked="0" layoutInCell="0" allowOverlap="1">
              <wp:simplePos x="0" y="0"/>
              <wp:positionH relativeFrom="page">
                <wp:posOffset>7090410</wp:posOffset>
              </wp:positionH>
              <wp:positionV relativeFrom="page">
                <wp:posOffset>5063490</wp:posOffset>
              </wp:positionV>
              <wp:extent cx="464820" cy="329565"/>
              <wp:effectExtent l="3810" t="0" r="1905"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DC0" w:rsidRDefault="00670125">
                          <w:pPr>
                            <w:pBdr>
                              <w:bottom w:val="single" w:sz="4" w:space="1" w:color="auto"/>
                            </w:pBdr>
                          </w:pPr>
                          <w:r>
                            <w:fldChar w:fldCharType="begin"/>
                          </w:r>
                          <w:r>
                            <w:instrText xml:space="preserve"> PAGE   \* MERGEFORMAT </w:instrText>
                          </w:r>
                          <w:r>
                            <w:fldChar w:fldCharType="separate"/>
                          </w:r>
                          <w:r w:rsidR="000354BF" w:rsidRPr="000354BF">
                            <w:rPr>
                              <w:noProof/>
                              <w:lang w:val="zh-TW"/>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矩形 1" o:spid="_x0000_s1026" style="position:absolute;margin-left:558.3pt;margin-top:398.7pt;width:36.6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" o:allowincell="f" stroked="f">
              <v:textbox>
                <w:txbxContent>
                  <w:p w:rsidR="00B94DC0" w:rsidRDefault="00670125">
                    <w:pPr>
                      <w:pBdr>
                        <w:bottom w:val="single" w:sz="4" w:space="1" w:color="auto"/>
                      </w:pBdr>
                    </w:pPr>
                    <w:r>
                      <w:fldChar w:fldCharType="begin"/>
                    </w:r>
                    <w:r>
                      <w:instrText xml:space="preserve"> PAGE   \* MERGEFORMAT </w:instrText>
                    </w:r>
                    <w:r>
                      <w:fldChar w:fldCharType="separate"/>
                    </w:r>
                    <w:r w:rsidR="000354BF" w:rsidRPr="000354BF">
                      <w:rPr>
                        <w:noProof/>
                        <w:lang w:val="zh-TW"/>
                      </w:rPr>
                      <w:t>2</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1A0"/>
    <w:multiLevelType w:val="hybridMultilevel"/>
    <w:tmpl w:val="2E0AB9CE"/>
    <w:lvl w:ilvl="0" w:tplc="A5DEC976">
      <w:start w:val="1"/>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15:restartNumberingAfterBreak="0">
    <w:nsid w:val="1B26306F"/>
    <w:multiLevelType w:val="hybridMultilevel"/>
    <w:tmpl w:val="666A7CC0"/>
    <w:lvl w:ilvl="0" w:tplc="72EC5E1A">
      <w:start w:val="1"/>
      <w:numFmt w:val="ideographLegalTraditional"/>
      <w:lvlText w:val="%1、"/>
      <w:lvlJc w:val="left"/>
      <w:pPr>
        <w:tabs>
          <w:tab w:val="num" w:pos="660"/>
        </w:tabs>
        <w:ind w:left="660" w:hanging="480"/>
      </w:pPr>
      <w:rPr>
        <w:rFonts w:hint="eastAsia"/>
        <w:lang w:val="en-US"/>
      </w:rPr>
    </w:lvl>
    <w:lvl w:ilvl="1" w:tplc="112E8900">
      <w:start w:val="1"/>
      <w:numFmt w:val="taiwaneseCountingThousand"/>
      <w:lvlText w:val="%2、"/>
      <w:lvlJc w:val="left"/>
      <w:pPr>
        <w:tabs>
          <w:tab w:val="num" w:pos="960"/>
        </w:tabs>
        <w:ind w:left="960" w:hanging="480"/>
      </w:pPr>
      <w:rPr>
        <w:rFonts w:hint="eastAsia"/>
        <w:lang w:val="en-US"/>
      </w:rPr>
    </w:lvl>
    <w:lvl w:ilvl="2" w:tplc="31307DD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451099"/>
    <w:multiLevelType w:val="hybridMultilevel"/>
    <w:tmpl w:val="2E0AB9CE"/>
    <w:lvl w:ilvl="0" w:tplc="FFFFFFFF">
      <w:start w:val="1"/>
      <w:numFmt w:val="taiwaneseCountingThousand"/>
      <w:lvlText w:val="%1、"/>
      <w:lvlJc w:val="left"/>
      <w:pPr>
        <w:ind w:left="1700" w:hanging="720"/>
      </w:pPr>
      <w:rPr>
        <w:rFonts w:hint="default"/>
      </w:rPr>
    </w:lvl>
    <w:lvl w:ilvl="1" w:tplc="FFFFFFFF" w:tentative="1">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3" w15:restartNumberingAfterBreak="0">
    <w:nsid w:val="26E90262"/>
    <w:multiLevelType w:val="hybridMultilevel"/>
    <w:tmpl w:val="2E0AB9CE"/>
    <w:lvl w:ilvl="0" w:tplc="FFFFFFFF">
      <w:start w:val="1"/>
      <w:numFmt w:val="taiwaneseCountingThousand"/>
      <w:lvlText w:val="%1、"/>
      <w:lvlJc w:val="left"/>
      <w:pPr>
        <w:ind w:left="1700" w:hanging="720"/>
      </w:pPr>
      <w:rPr>
        <w:rFonts w:hint="default"/>
      </w:rPr>
    </w:lvl>
    <w:lvl w:ilvl="1" w:tplc="FFFFFFFF" w:tentative="1">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4" w15:restartNumberingAfterBreak="0">
    <w:nsid w:val="2C34116A"/>
    <w:multiLevelType w:val="hybridMultilevel"/>
    <w:tmpl w:val="D5BE954A"/>
    <w:lvl w:ilvl="0" w:tplc="2EC80B6E">
      <w:start w:val="1"/>
      <w:numFmt w:val="taiwaneseCountingThousand"/>
      <w:lvlText w:val="（%1）"/>
      <w:lvlJc w:val="left"/>
      <w:pPr>
        <w:tabs>
          <w:tab w:val="num" w:pos="1935"/>
        </w:tabs>
        <w:ind w:left="1935" w:hanging="855"/>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3A21536C"/>
    <w:multiLevelType w:val="hybridMultilevel"/>
    <w:tmpl w:val="2E0AB9CE"/>
    <w:lvl w:ilvl="0" w:tplc="FFFFFFFF">
      <w:start w:val="1"/>
      <w:numFmt w:val="taiwaneseCountingThousand"/>
      <w:lvlText w:val="%1、"/>
      <w:lvlJc w:val="left"/>
      <w:pPr>
        <w:ind w:left="1700" w:hanging="720"/>
      </w:pPr>
      <w:rPr>
        <w:rFonts w:hint="default"/>
      </w:rPr>
    </w:lvl>
    <w:lvl w:ilvl="1" w:tplc="FFFFFFFF" w:tentative="1">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6"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6B"/>
    <w:rsid w:val="000354BF"/>
    <w:rsid w:val="00040DDC"/>
    <w:rsid w:val="000D5DAA"/>
    <w:rsid w:val="00175D6B"/>
    <w:rsid w:val="00670125"/>
    <w:rsid w:val="00A72CAB"/>
    <w:rsid w:val="00DB40B6"/>
    <w:rsid w:val="00F80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3418A"/>
  <w15:chartTrackingRefBased/>
  <w15:docId w15:val="{895F978F-C831-4C47-8EDC-6503EB27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5D6B"/>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175D6B"/>
    <w:rPr>
      <w:rFonts w:ascii="Times New Roman" w:eastAsia="新細明體" w:hAnsi="Times New Roman" w:cs="Times New Roman"/>
      <w:sz w:val="20"/>
      <w:szCs w:val="20"/>
    </w:rPr>
  </w:style>
  <w:style w:type="paragraph" w:styleId="a5">
    <w:name w:val="footer"/>
    <w:basedOn w:val="a"/>
    <w:link w:val="a6"/>
    <w:uiPriority w:val="99"/>
    <w:rsid w:val="00175D6B"/>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175D6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2022-02-21T03:57:00Z</dcterms:created>
  <dcterms:modified xsi:type="dcterms:W3CDTF">2022-02-21T03:57:00Z</dcterms:modified>
</cp:coreProperties>
</file>